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8121B">
              <w:rPr>
                <w:rFonts w:ascii="Times New Roman" w:hAnsi="Times New Roman" w:cs="Times New Roman"/>
                <w:sz w:val="72"/>
              </w:rPr>
              <w:t>7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8121B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вязкая геркулесовая с маслом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2A02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10/6/50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582A02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Фрукты свежие (</w:t>
            </w:r>
            <w:r w:rsidR="00582A02"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582A02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582A02">
              <w:rPr>
                <w:rFonts w:ascii="Times New Roman" w:hAnsi="Times New Roman" w:cs="Times New Roman"/>
                <w:sz w:val="28"/>
                <w:szCs w:val="28"/>
              </w:rPr>
              <w:t>манный с гренками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58121B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Пюре картофельный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582A02" w:rsidP="0058121B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Рыба тушенная с овощами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582A02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A02"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из творога</w:t>
            </w:r>
            <w:r w:rsidR="00582A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58121B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21B"/>
    <w:rsid w:val="005813A4"/>
    <w:rsid w:val="00582A02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B9DF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2022-03-14T05:42:00Z</cp:lastPrinted>
  <dcterms:created xsi:type="dcterms:W3CDTF">2013-02-08T03:43:00Z</dcterms:created>
  <dcterms:modified xsi:type="dcterms:W3CDTF">2023-01-10T13:36:00Z</dcterms:modified>
</cp:coreProperties>
</file>